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6AB" w:rsidRPr="007546AB" w:rsidRDefault="008A2333" w:rsidP="007546AB">
      <w:pPr>
        <w:pStyle w:val="Sidhuvud"/>
        <w:tabs>
          <w:tab w:val="clear" w:pos="4536"/>
          <w:tab w:val="clear" w:pos="9072"/>
        </w:tabs>
        <w:rPr>
          <w:b/>
          <w:bCs/>
          <w:sz w:val="28"/>
        </w:rPr>
      </w:pPr>
      <w:r>
        <w:rPr>
          <w:b/>
          <w:bCs/>
          <w:sz w:val="28"/>
        </w:rPr>
        <w:t>Riktlinjer</w:t>
      </w:r>
      <w:r w:rsidR="007546AB">
        <w:rPr>
          <w:b/>
          <w:bCs/>
          <w:sz w:val="28"/>
        </w:rPr>
        <w:t>, s</w:t>
      </w:r>
      <w:r w:rsidR="007546AB" w:rsidRPr="007546AB">
        <w:rPr>
          <w:b/>
          <w:bCs/>
          <w:sz w:val="28"/>
        </w:rPr>
        <w:t>tudieomdöme och behörighetsintyg på Allmän kurs</w:t>
      </w:r>
    </w:p>
    <w:p w:rsidR="007546AB" w:rsidRPr="007546AB" w:rsidRDefault="007546AB" w:rsidP="007546AB">
      <w:r w:rsidRPr="007546AB">
        <w:t xml:space="preserve">Folkhögskolan har ett eget bedömningssystem och ger inte betyg i enskilda ämnen. </w:t>
      </w:r>
      <w:r>
        <w:t>Man</w:t>
      </w:r>
      <w:r w:rsidRPr="007546AB">
        <w:t xml:space="preserve"> kan alltså inte läsa upp betyg, men </w:t>
      </w:r>
      <w:r>
        <w:t>den</w:t>
      </w:r>
      <w:r w:rsidRPr="007546AB">
        <w:t xml:space="preserve"> som studerar på Allmän kurs kan få ett studieomdöme.</w:t>
      </w:r>
    </w:p>
    <w:p w:rsidR="007546AB" w:rsidRDefault="007546AB" w:rsidP="007546AB"/>
    <w:p w:rsidR="007546AB" w:rsidRPr="007546AB" w:rsidRDefault="007546AB" w:rsidP="007546AB">
      <w:r>
        <w:t>Den</w:t>
      </w:r>
      <w:r w:rsidRPr="007546AB">
        <w:t xml:space="preserve"> som studerar på Allmän kurs får ett studieomdöme som är en sammanfattande bedömning av studieförmåga</w:t>
      </w:r>
      <w:r>
        <w:t>n</w:t>
      </w:r>
      <w:r w:rsidRPr="007546AB">
        <w:t xml:space="preserve">. Bedömningen görs årligen gemensamt av alla </w:t>
      </w:r>
      <w:r>
        <w:t>berörda</w:t>
      </w:r>
      <w:r w:rsidRPr="007546AB">
        <w:t xml:space="preserve"> lärare på skolan. Studieomdöme ges endast på</w:t>
      </w:r>
      <w:r w:rsidR="00F920A2">
        <w:t xml:space="preserve"> allmänna kurser som är minst 35</w:t>
      </w:r>
      <w:r w:rsidRPr="007546AB">
        <w:t xml:space="preserve"> veckor långa, d.v.s. oftast ett läsår.</w:t>
      </w:r>
    </w:p>
    <w:p w:rsidR="00F920A2" w:rsidRDefault="00F920A2" w:rsidP="007546AB"/>
    <w:p w:rsidR="007546AB" w:rsidRPr="007546AB" w:rsidRDefault="007546AB" w:rsidP="007546AB">
      <w:r w:rsidRPr="007546AB">
        <w:t>F</w:t>
      </w:r>
      <w:r w:rsidR="00F920A2">
        <w:t xml:space="preserve">olkhögskolan ger inte betyg och det går därför inte att föra samman studieomdömet </w:t>
      </w:r>
      <w:r w:rsidRPr="007546AB">
        <w:t xml:space="preserve">från folkhögskolan med gymnasiebetyget. </w:t>
      </w:r>
      <w:r>
        <w:t>Man</w:t>
      </w:r>
      <w:r w:rsidRPr="007546AB">
        <w:t xml:space="preserve"> kan alltså inte läsa upp betyg - höja betygsmedelvärdet från gymnasiet - genom att studera på folkhögskola.</w:t>
      </w:r>
      <w:r w:rsidRPr="007546AB">
        <w:br/>
      </w:r>
      <w:r w:rsidRPr="007546AB">
        <w:br/>
        <w:t xml:space="preserve">Studieomdömet </w:t>
      </w:r>
      <w:r w:rsidR="00F920A2">
        <w:t xml:space="preserve">som deltagare får då </w:t>
      </w:r>
      <w:r w:rsidRPr="007546AB">
        <w:t>omfattningskravet i folkhögskolans grundläggande b</w:t>
      </w:r>
      <w:r w:rsidR="00F920A2">
        <w:t>ehörighet är uppfyllt, används för att söka högskola</w:t>
      </w:r>
      <w:r w:rsidRPr="007546AB">
        <w:t>.  </w:t>
      </w:r>
    </w:p>
    <w:p w:rsidR="007546AB" w:rsidRPr="007546AB" w:rsidRDefault="007546AB" w:rsidP="007546AB">
      <w:pPr>
        <w:spacing w:before="100" w:beforeAutospacing="1" w:after="48" w:line="312" w:lineRule="atLeast"/>
        <w:outlineLvl w:val="2"/>
        <w:rPr>
          <w:rFonts w:ascii="Helvetica" w:hAnsi="Helvetica" w:cs="Helvetica"/>
          <w:color w:val="151515"/>
          <w:szCs w:val="24"/>
        </w:rPr>
      </w:pPr>
      <w:r w:rsidRPr="007546AB">
        <w:rPr>
          <w:rFonts w:ascii="Helvetica" w:hAnsi="Helvetica" w:cs="Helvetica"/>
          <w:color w:val="151515"/>
          <w:szCs w:val="24"/>
        </w:rPr>
        <w:t>Vid bedömning för studieomdöme beaktas följande faktorer:</w:t>
      </w:r>
    </w:p>
    <w:p w:rsidR="007546AB" w:rsidRPr="007546AB" w:rsidRDefault="007546AB" w:rsidP="007546AB">
      <w:pPr>
        <w:numPr>
          <w:ilvl w:val="0"/>
          <w:numId w:val="3"/>
        </w:numPr>
      </w:pPr>
      <w:r w:rsidRPr="007546AB">
        <w:t>Kunskaper och färdigheter och utveckling av dessa.</w:t>
      </w:r>
    </w:p>
    <w:p w:rsidR="007546AB" w:rsidRPr="007546AB" w:rsidRDefault="007546AB" w:rsidP="007546AB">
      <w:pPr>
        <w:numPr>
          <w:ilvl w:val="0"/>
          <w:numId w:val="3"/>
        </w:numPr>
      </w:pPr>
      <w:r w:rsidRPr="007546AB">
        <w:t>Förmåga till analys, bearbetning och överblick.</w:t>
      </w:r>
    </w:p>
    <w:p w:rsidR="007546AB" w:rsidRPr="007546AB" w:rsidRDefault="007546AB" w:rsidP="007546AB">
      <w:pPr>
        <w:numPr>
          <w:ilvl w:val="0"/>
          <w:numId w:val="3"/>
        </w:numPr>
      </w:pPr>
      <w:r w:rsidRPr="007546AB">
        <w:t>Ambition, uthållighet och förmåga att organisera studier.</w:t>
      </w:r>
    </w:p>
    <w:p w:rsidR="007546AB" w:rsidRPr="007546AB" w:rsidRDefault="007546AB" w:rsidP="007546AB">
      <w:pPr>
        <w:numPr>
          <w:ilvl w:val="0"/>
          <w:numId w:val="3"/>
        </w:numPr>
      </w:pPr>
      <w:r w:rsidRPr="007546AB">
        <w:t>Social förmåga</w:t>
      </w:r>
    </w:p>
    <w:p w:rsidR="007546AB" w:rsidRPr="007546AB" w:rsidRDefault="007546AB" w:rsidP="007546AB">
      <w:pPr>
        <w:spacing w:before="100" w:beforeAutospacing="1" w:after="48" w:line="312" w:lineRule="atLeast"/>
        <w:outlineLvl w:val="2"/>
        <w:rPr>
          <w:rFonts w:ascii="Helvetica" w:hAnsi="Helvetica" w:cs="Helvetica"/>
          <w:b/>
          <w:color w:val="151515"/>
          <w:szCs w:val="24"/>
        </w:rPr>
      </w:pPr>
      <w:r w:rsidRPr="007546AB">
        <w:rPr>
          <w:rFonts w:ascii="Helvetica" w:hAnsi="Helvetica" w:cs="Helvetica"/>
          <w:b/>
          <w:color w:val="151515"/>
          <w:szCs w:val="24"/>
        </w:rPr>
        <w:t>Folkhögskolan använder en sjugradig skala från och med våren 2014</w:t>
      </w:r>
    </w:p>
    <w:p w:rsidR="007546AB" w:rsidRDefault="007546AB" w:rsidP="007546AB">
      <w:r>
        <w:t>Läsåret 2013/2014 utökades</w:t>
      </w:r>
      <w:r w:rsidRPr="007546AB">
        <w:t xml:space="preserve"> studieomdömets fyrgradiga skala till en sjugradig. Tre mellansteg införs. Äldre studerande med en fyrgradig skala och de nya med den sjugradiga skalan söker genom samma urvalsgrupp till högskolan.</w:t>
      </w:r>
    </w:p>
    <w:p w:rsidR="007546AB" w:rsidRPr="007546AB" w:rsidRDefault="007546AB" w:rsidP="007546AB"/>
    <w:p w:rsidR="007546AB" w:rsidRPr="007546AB" w:rsidRDefault="007546AB" w:rsidP="007546AB">
      <w:r w:rsidRPr="007546AB">
        <w:t>4    - Utmärkt studieförmåga</w:t>
      </w:r>
      <w:r w:rsidRPr="007546AB">
        <w:br/>
        <w:t>3,5 - Mycket god - Utmärkt studieförmåga</w:t>
      </w:r>
      <w:r w:rsidRPr="007546AB">
        <w:br/>
        <w:t>3    - Mycket god studieförmåga</w:t>
      </w:r>
      <w:r w:rsidRPr="007546AB">
        <w:br/>
        <w:t>2,5 - God - Mycket god studieförmåga</w:t>
      </w:r>
      <w:r w:rsidRPr="007546AB">
        <w:br/>
        <w:t>2    - God studieförmåga</w:t>
      </w:r>
      <w:r w:rsidRPr="007546AB">
        <w:br/>
        <w:t>1,5 - Mindre god - God studieförmåga</w:t>
      </w:r>
      <w:r w:rsidRPr="007546AB">
        <w:br/>
        <w:t>1    - Mindre god studieförmåga</w:t>
      </w:r>
    </w:p>
    <w:p w:rsidR="007546AB" w:rsidRDefault="007546AB" w:rsidP="007546AB"/>
    <w:p w:rsidR="007546AB" w:rsidRPr="007546AB" w:rsidRDefault="007546AB" w:rsidP="007546AB">
      <w:r w:rsidRPr="007546AB">
        <w:t xml:space="preserve">För att studieomdömen ska vara jämförbara över hela landet bör folkhögskolorna sätta studieomdömen så att genomsnittet på skolan under ett läsår ligger omkring 2,7 (plus/minus 5%). Läs mer om detta i Folkbildningsrådets </w:t>
      </w:r>
      <w:r w:rsidR="00F920A2">
        <w:t xml:space="preserve">”Villkorsanvisning för folkhögskolans </w:t>
      </w:r>
      <w:hyperlink r:id="rId7" w:tgtFrame="_blank" w:history="1">
        <w:r w:rsidR="00F920A2">
          <w:t>studieomdöme”.</w:t>
        </w:r>
      </w:hyperlink>
    </w:p>
    <w:p w:rsidR="00F920A2" w:rsidRDefault="00F920A2" w:rsidP="00CF212E"/>
    <w:p w:rsidR="007546AB" w:rsidRDefault="007546AB" w:rsidP="00CF212E">
      <w:pPr>
        <w:rPr>
          <w:b/>
          <w:bCs/>
          <w:sz w:val="23"/>
          <w:szCs w:val="23"/>
        </w:rPr>
      </w:pPr>
      <w:r w:rsidRPr="007546AB">
        <w:t>På de särskilda kurserna får de studerande inget studieomdöme utan ett intyg efter fullgjord kurs.</w:t>
      </w:r>
    </w:p>
    <w:p w:rsidR="007546AB" w:rsidRPr="007546AB" w:rsidRDefault="007546AB" w:rsidP="007546AB">
      <w:pPr>
        <w:spacing w:before="100" w:beforeAutospacing="1" w:after="48" w:line="312" w:lineRule="atLeast"/>
        <w:outlineLvl w:val="2"/>
        <w:rPr>
          <w:rFonts w:ascii="Helvetica" w:hAnsi="Helvetica" w:cs="Helvetica"/>
          <w:b/>
          <w:color w:val="151515"/>
          <w:szCs w:val="24"/>
        </w:rPr>
      </w:pPr>
      <w:r>
        <w:rPr>
          <w:b/>
          <w:bCs/>
          <w:sz w:val="23"/>
          <w:szCs w:val="23"/>
        </w:rPr>
        <w:br w:type="page"/>
      </w:r>
      <w:r w:rsidRPr="007546AB">
        <w:rPr>
          <w:rFonts w:ascii="Helvetica" w:hAnsi="Helvetica" w:cs="Helvetica"/>
          <w:b/>
          <w:color w:val="151515"/>
          <w:szCs w:val="24"/>
        </w:rPr>
        <w:lastRenderedPageBreak/>
        <w:t xml:space="preserve">Kan studieomdömet överklagas? </w:t>
      </w:r>
    </w:p>
    <w:p w:rsidR="007546AB" w:rsidRPr="007546AB" w:rsidRDefault="007546AB" w:rsidP="007546AB">
      <w:r w:rsidRPr="007546AB">
        <w:t xml:space="preserve">Studieomdömet är resultatet av en samlad bedömning av den studerandes studieförmåga. Den är en sammanvägning som genomförs av hela den pedagogiska personalen. Många faktorer beaktas och mätning av inhämtade kunskaper är endast en del av underlaget. Denna process kan inte återskapas av någon instans utanför skolan. </w:t>
      </w:r>
    </w:p>
    <w:p w:rsidR="00F920A2" w:rsidRDefault="00F920A2" w:rsidP="007546AB"/>
    <w:p w:rsidR="007546AB" w:rsidRDefault="007546AB" w:rsidP="007546AB">
      <w:r w:rsidRPr="007546AB">
        <w:t xml:space="preserve">En studerande kan dock alltid vända sig till rektor och därefter till skolans styrelse och begära en omprövning av omdömessättningen om hon/han kan ange skäl för detta. Tidsgräns och formerna för detta ska anges i folkhögskolans studeranderättsliga ordning. </w:t>
      </w:r>
    </w:p>
    <w:p w:rsidR="00F920A2" w:rsidRPr="007546AB" w:rsidRDefault="00F920A2" w:rsidP="007546AB"/>
    <w:p w:rsidR="007546AB" w:rsidRDefault="007546AB" w:rsidP="007546AB">
      <w:r w:rsidRPr="007546AB">
        <w:t>Studieomdömet kan däremot inte överklagas till Folkbildningsrådet, Folkhögskolornas studeranderättsliga råd eller till annan instans utanför skolan.</w:t>
      </w:r>
    </w:p>
    <w:p w:rsidR="007546AB" w:rsidRDefault="007546AB" w:rsidP="00EA5D25"/>
    <w:p w:rsidR="00EA5D25" w:rsidRPr="00CF212E" w:rsidRDefault="00EA5D25" w:rsidP="00CF212E">
      <w:pPr>
        <w:rPr>
          <w:b/>
        </w:rPr>
      </w:pPr>
      <w:r w:rsidRPr="00CF212E">
        <w:rPr>
          <w:b/>
        </w:rPr>
        <w:t>Kriterier</w:t>
      </w:r>
    </w:p>
    <w:p w:rsidR="007546AB" w:rsidRPr="007546AB" w:rsidRDefault="007546AB" w:rsidP="007546AB">
      <w:r w:rsidRPr="007546AB">
        <w:t xml:space="preserve">Varje skola ska utifrån dessa kriterier för omdömena Utmärkt, Mycket God och God avgöra vilka bedömningsgrunder som ska gälla för de övriga omdömesnivåerna. Kriterierna anges nedan för vardera av de fyra faktorer som ska beaktas. </w:t>
      </w:r>
    </w:p>
    <w:p w:rsidR="00CF212E" w:rsidRDefault="00CF212E" w:rsidP="007546AB">
      <w:pPr>
        <w:pStyle w:val="Default"/>
        <w:rPr>
          <w:b/>
          <w:bCs/>
          <w:i/>
          <w:iCs/>
          <w:sz w:val="23"/>
          <w:szCs w:val="23"/>
        </w:rPr>
      </w:pPr>
    </w:p>
    <w:p w:rsidR="007546AB" w:rsidRPr="00CF212E" w:rsidRDefault="007546AB" w:rsidP="00CF212E">
      <w:pPr>
        <w:rPr>
          <w:b/>
          <w:i/>
        </w:rPr>
      </w:pPr>
      <w:r w:rsidRPr="00CF212E">
        <w:rPr>
          <w:b/>
          <w:i/>
        </w:rPr>
        <w:t xml:space="preserve">Kunskaper och färdigheter och utveckling av dessa </w:t>
      </w:r>
    </w:p>
    <w:p w:rsidR="00CF212E" w:rsidRDefault="00CF212E" w:rsidP="007546AB">
      <w:pPr>
        <w:pStyle w:val="Default"/>
        <w:rPr>
          <w:b/>
          <w:bCs/>
          <w:sz w:val="20"/>
          <w:szCs w:val="20"/>
        </w:rPr>
      </w:pPr>
    </w:p>
    <w:p w:rsidR="007546AB" w:rsidRPr="00CF212E" w:rsidRDefault="007546AB" w:rsidP="00CF212E">
      <w:pPr>
        <w:rPr>
          <w:b/>
        </w:rPr>
      </w:pPr>
      <w:r w:rsidRPr="00CF212E">
        <w:rPr>
          <w:b/>
        </w:rPr>
        <w:t xml:space="preserve">Utmärkt studieförmåga </w:t>
      </w:r>
    </w:p>
    <w:p w:rsidR="007546AB" w:rsidRPr="007546AB" w:rsidRDefault="007546AB" w:rsidP="007546AB">
      <w:r w:rsidRPr="007546AB">
        <w:t xml:space="preserve">Den studerande </w:t>
      </w:r>
    </w:p>
    <w:p w:rsidR="007546AB" w:rsidRPr="007546AB" w:rsidRDefault="007546AB" w:rsidP="00190CE0">
      <w:pPr>
        <w:numPr>
          <w:ilvl w:val="0"/>
          <w:numId w:val="5"/>
        </w:numPr>
      </w:pPr>
      <w:r w:rsidRPr="007546AB">
        <w:t xml:space="preserve">söker aktivt och självständigt ny kunskap som leder till såväl vidgad som fördjupad förståelse och ökad insikt </w:t>
      </w:r>
    </w:p>
    <w:p w:rsidR="007546AB" w:rsidRPr="007546AB" w:rsidRDefault="007546AB" w:rsidP="00190CE0">
      <w:pPr>
        <w:numPr>
          <w:ilvl w:val="0"/>
          <w:numId w:val="5"/>
        </w:numPr>
      </w:pPr>
      <w:r w:rsidRPr="007546AB">
        <w:t xml:space="preserve">använder sina kunskaper och färdigheter och har förmåga att relatera dessa till sina egna erfarenheter och till nya situationer </w:t>
      </w:r>
    </w:p>
    <w:p w:rsidR="007546AB" w:rsidRPr="007546AB" w:rsidRDefault="007546AB" w:rsidP="00190CE0">
      <w:pPr>
        <w:numPr>
          <w:ilvl w:val="0"/>
          <w:numId w:val="5"/>
        </w:numPr>
      </w:pPr>
      <w:r w:rsidRPr="007546AB">
        <w:t xml:space="preserve">integrerar kunskaper och färdigheter från olika områden </w:t>
      </w:r>
    </w:p>
    <w:p w:rsidR="007546AB" w:rsidRPr="007546AB" w:rsidRDefault="007546AB" w:rsidP="00190CE0">
      <w:pPr>
        <w:numPr>
          <w:ilvl w:val="0"/>
          <w:numId w:val="5"/>
        </w:numPr>
      </w:pPr>
      <w:r w:rsidRPr="007546AB">
        <w:t xml:space="preserve">redovisar tillägnade kunskaper och färdigheter på ett överskådligt, nyanserat och varierat sätt </w:t>
      </w:r>
    </w:p>
    <w:p w:rsidR="007546AB" w:rsidRDefault="007546AB" w:rsidP="007546AB">
      <w:pPr>
        <w:pStyle w:val="Default"/>
        <w:rPr>
          <w:sz w:val="20"/>
          <w:szCs w:val="20"/>
        </w:rPr>
      </w:pPr>
    </w:p>
    <w:p w:rsidR="007546AB" w:rsidRPr="00CF212E" w:rsidRDefault="007546AB" w:rsidP="00CF212E">
      <w:pPr>
        <w:rPr>
          <w:b/>
        </w:rPr>
      </w:pPr>
      <w:r w:rsidRPr="00CF212E">
        <w:rPr>
          <w:b/>
        </w:rPr>
        <w:t xml:space="preserve">Mycket god studieförmåga </w:t>
      </w:r>
    </w:p>
    <w:p w:rsidR="007546AB" w:rsidRPr="007546AB" w:rsidRDefault="007546AB" w:rsidP="007546AB">
      <w:r w:rsidRPr="007546AB">
        <w:t xml:space="preserve">Den studerande </w:t>
      </w:r>
    </w:p>
    <w:p w:rsidR="007546AB" w:rsidRPr="007546AB" w:rsidRDefault="007546AB" w:rsidP="00190CE0">
      <w:pPr>
        <w:numPr>
          <w:ilvl w:val="0"/>
          <w:numId w:val="5"/>
        </w:numPr>
      </w:pPr>
      <w:r w:rsidRPr="007546AB">
        <w:t xml:space="preserve">söker aktivt och med visst stöd ny kunskap som leder till ökad förståelse och insikt </w:t>
      </w:r>
    </w:p>
    <w:p w:rsidR="007546AB" w:rsidRPr="007546AB" w:rsidRDefault="007546AB" w:rsidP="00190CE0">
      <w:pPr>
        <w:numPr>
          <w:ilvl w:val="0"/>
          <w:numId w:val="5"/>
        </w:numPr>
      </w:pPr>
      <w:r w:rsidRPr="007546AB">
        <w:t xml:space="preserve">använder sina kunskaper och färdigheter och har förmåga att relatera dessa till sina egna erfarenheter och till nya situationer </w:t>
      </w:r>
    </w:p>
    <w:p w:rsidR="007546AB" w:rsidRPr="007546AB" w:rsidRDefault="007546AB" w:rsidP="00190CE0">
      <w:pPr>
        <w:numPr>
          <w:ilvl w:val="0"/>
          <w:numId w:val="5"/>
        </w:numPr>
      </w:pPr>
      <w:r w:rsidRPr="007546AB">
        <w:t xml:space="preserve">integrerar med visst stöd kunskaper och färdigheter från olika områden </w:t>
      </w:r>
    </w:p>
    <w:p w:rsidR="007546AB" w:rsidRPr="007546AB" w:rsidRDefault="007546AB" w:rsidP="00190CE0">
      <w:pPr>
        <w:numPr>
          <w:ilvl w:val="0"/>
          <w:numId w:val="5"/>
        </w:numPr>
      </w:pPr>
      <w:r w:rsidRPr="007546AB">
        <w:t xml:space="preserve">redovisar tillägnade kunskaper och färdigheter på ett strukturerat och tydligt sätt </w:t>
      </w:r>
    </w:p>
    <w:p w:rsidR="007546AB" w:rsidRDefault="007546AB" w:rsidP="007546AB">
      <w:pPr>
        <w:pStyle w:val="Default"/>
        <w:rPr>
          <w:sz w:val="20"/>
          <w:szCs w:val="20"/>
        </w:rPr>
      </w:pPr>
    </w:p>
    <w:p w:rsidR="007546AB" w:rsidRPr="00CF212E" w:rsidRDefault="007546AB" w:rsidP="00CF212E">
      <w:pPr>
        <w:rPr>
          <w:b/>
        </w:rPr>
      </w:pPr>
      <w:r w:rsidRPr="00CF212E">
        <w:rPr>
          <w:b/>
        </w:rPr>
        <w:t xml:space="preserve">God studieförmåga </w:t>
      </w:r>
    </w:p>
    <w:p w:rsidR="007546AB" w:rsidRPr="007546AB" w:rsidRDefault="007546AB" w:rsidP="007546AB">
      <w:r w:rsidRPr="007546AB">
        <w:t xml:space="preserve">Den studerande </w:t>
      </w:r>
    </w:p>
    <w:p w:rsidR="007546AB" w:rsidRPr="007546AB" w:rsidRDefault="007546AB" w:rsidP="00190CE0">
      <w:pPr>
        <w:numPr>
          <w:ilvl w:val="0"/>
          <w:numId w:val="5"/>
        </w:numPr>
      </w:pPr>
      <w:r w:rsidRPr="007546AB">
        <w:lastRenderedPageBreak/>
        <w:t xml:space="preserve">söker med stöd ny kunskap som leder till viss förståelse och insikt </w:t>
      </w:r>
    </w:p>
    <w:p w:rsidR="007546AB" w:rsidRPr="007546AB" w:rsidRDefault="007546AB" w:rsidP="00190CE0">
      <w:pPr>
        <w:numPr>
          <w:ilvl w:val="0"/>
          <w:numId w:val="5"/>
        </w:numPr>
      </w:pPr>
      <w:r w:rsidRPr="007546AB">
        <w:t xml:space="preserve">använder sina kunskaper och färdigheter i ett givet sammanhang och har förmåga att relatera dessa till sina egna erfarenheter </w:t>
      </w:r>
    </w:p>
    <w:p w:rsidR="007546AB" w:rsidRPr="007546AB" w:rsidRDefault="007546AB" w:rsidP="00190CE0">
      <w:pPr>
        <w:numPr>
          <w:ilvl w:val="0"/>
          <w:numId w:val="5"/>
        </w:numPr>
      </w:pPr>
      <w:r w:rsidRPr="007546AB">
        <w:t xml:space="preserve">kan med stöd integrera kunskaper och färdigheter från olika områden </w:t>
      </w:r>
    </w:p>
    <w:p w:rsidR="007546AB" w:rsidRPr="007546AB" w:rsidRDefault="007546AB" w:rsidP="00190CE0">
      <w:pPr>
        <w:numPr>
          <w:ilvl w:val="0"/>
          <w:numId w:val="5"/>
        </w:numPr>
      </w:pPr>
      <w:r w:rsidRPr="007546AB">
        <w:t xml:space="preserve">redovisar tillägnade kunskaper och färdigheter muntligt och skriftligt </w:t>
      </w:r>
    </w:p>
    <w:p w:rsidR="007546AB" w:rsidRDefault="007546AB" w:rsidP="007546AB">
      <w:pPr>
        <w:pStyle w:val="Default"/>
        <w:rPr>
          <w:sz w:val="20"/>
          <w:szCs w:val="20"/>
        </w:rPr>
      </w:pPr>
    </w:p>
    <w:p w:rsidR="007546AB" w:rsidRPr="00CF212E" w:rsidRDefault="007546AB" w:rsidP="00CF212E">
      <w:pPr>
        <w:rPr>
          <w:b/>
          <w:i/>
        </w:rPr>
      </w:pPr>
      <w:r w:rsidRPr="00CF212E">
        <w:rPr>
          <w:b/>
          <w:i/>
        </w:rPr>
        <w:t xml:space="preserve">Förmåga till analys, bearbetning och överblick </w:t>
      </w:r>
    </w:p>
    <w:p w:rsidR="00CF212E" w:rsidRDefault="00CF212E" w:rsidP="00CF212E">
      <w:pPr>
        <w:rPr>
          <w:b/>
        </w:rPr>
      </w:pPr>
    </w:p>
    <w:p w:rsidR="007546AB" w:rsidRPr="00CF212E" w:rsidRDefault="007546AB" w:rsidP="00CF212E">
      <w:pPr>
        <w:rPr>
          <w:b/>
        </w:rPr>
      </w:pPr>
      <w:r w:rsidRPr="00CF212E">
        <w:rPr>
          <w:b/>
        </w:rPr>
        <w:t xml:space="preserve">Utmärkt studieförmåga </w:t>
      </w:r>
    </w:p>
    <w:p w:rsidR="007546AB" w:rsidRPr="007546AB" w:rsidRDefault="007546AB" w:rsidP="007546AB">
      <w:r w:rsidRPr="007546AB">
        <w:t xml:space="preserve">Den studerande </w:t>
      </w:r>
    </w:p>
    <w:p w:rsidR="007546AB" w:rsidRPr="007546AB" w:rsidRDefault="007546AB" w:rsidP="00190CE0">
      <w:pPr>
        <w:numPr>
          <w:ilvl w:val="0"/>
          <w:numId w:val="5"/>
        </w:numPr>
      </w:pPr>
      <w:r w:rsidRPr="007546AB">
        <w:t xml:space="preserve">söker, bearbetar och vidareförmedlar, med ett kritiskt förhållningssätt, information från olika källor </w:t>
      </w:r>
    </w:p>
    <w:p w:rsidR="007546AB" w:rsidRPr="007546AB" w:rsidRDefault="007546AB" w:rsidP="00190CE0">
      <w:pPr>
        <w:numPr>
          <w:ilvl w:val="0"/>
          <w:numId w:val="5"/>
        </w:numPr>
      </w:pPr>
      <w:r w:rsidRPr="007546AB">
        <w:t xml:space="preserve">ser och förstår samband och helheter samt skapar sin egen kunskap </w:t>
      </w:r>
    </w:p>
    <w:p w:rsidR="007546AB" w:rsidRPr="007546AB" w:rsidRDefault="007546AB" w:rsidP="00190CE0">
      <w:pPr>
        <w:numPr>
          <w:ilvl w:val="0"/>
          <w:numId w:val="5"/>
        </w:numPr>
      </w:pPr>
      <w:r w:rsidRPr="007546AB">
        <w:t xml:space="preserve">använder begrepp, modeller och teorier för att beskriva och förklara olika förlopp och företeelser </w:t>
      </w:r>
    </w:p>
    <w:p w:rsidR="007546AB" w:rsidRPr="007546AB" w:rsidRDefault="007546AB" w:rsidP="00190CE0">
      <w:pPr>
        <w:numPr>
          <w:ilvl w:val="0"/>
          <w:numId w:val="5"/>
        </w:numPr>
      </w:pPr>
      <w:r w:rsidRPr="007546AB">
        <w:t xml:space="preserve">visar flexibilitet och öppenhet för nya sätt att lösa problem och tillämpar dessa </w:t>
      </w:r>
    </w:p>
    <w:p w:rsidR="007546AB" w:rsidRDefault="007546AB" w:rsidP="007546AB">
      <w:pPr>
        <w:pStyle w:val="Default"/>
        <w:rPr>
          <w:sz w:val="20"/>
          <w:szCs w:val="20"/>
        </w:rPr>
      </w:pPr>
    </w:p>
    <w:p w:rsidR="007546AB" w:rsidRPr="00CF212E" w:rsidRDefault="007546AB" w:rsidP="00CF212E">
      <w:pPr>
        <w:rPr>
          <w:b/>
        </w:rPr>
      </w:pPr>
      <w:r w:rsidRPr="00CF212E">
        <w:rPr>
          <w:b/>
        </w:rPr>
        <w:t xml:space="preserve">Mycket god studieförmåga </w:t>
      </w:r>
    </w:p>
    <w:p w:rsidR="007546AB" w:rsidRPr="007546AB" w:rsidRDefault="007546AB" w:rsidP="007546AB">
      <w:r w:rsidRPr="007546AB">
        <w:t xml:space="preserve">Den studerande </w:t>
      </w:r>
    </w:p>
    <w:p w:rsidR="007546AB" w:rsidRPr="007546AB" w:rsidRDefault="007546AB" w:rsidP="00190CE0">
      <w:pPr>
        <w:numPr>
          <w:ilvl w:val="0"/>
          <w:numId w:val="5"/>
        </w:numPr>
      </w:pPr>
      <w:r w:rsidRPr="007546AB">
        <w:t xml:space="preserve">söker, bearbetar källkritiskt och vidareförmedlar information från olika källor </w:t>
      </w:r>
    </w:p>
    <w:p w:rsidR="007546AB" w:rsidRPr="007546AB" w:rsidRDefault="007546AB" w:rsidP="00190CE0">
      <w:pPr>
        <w:numPr>
          <w:ilvl w:val="0"/>
          <w:numId w:val="5"/>
        </w:numPr>
      </w:pPr>
      <w:r w:rsidRPr="007546AB">
        <w:t xml:space="preserve">ser och förstår samband och helheter </w:t>
      </w:r>
    </w:p>
    <w:p w:rsidR="007546AB" w:rsidRPr="007546AB" w:rsidRDefault="007546AB" w:rsidP="00190CE0">
      <w:pPr>
        <w:numPr>
          <w:ilvl w:val="0"/>
          <w:numId w:val="5"/>
        </w:numPr>
      </w:pPr>
      <w:r w:rsidRPr="007546AB">
        <w:t xml:space="preserve">använder begrepp och modeller för att beskriva och förklara olika förlopp och företeelser </w:t>
      </w:r>
    </w:p>
    <w:p w:rsidR="007546AB" w:rsidRPr="007546AB" w:rsidRDefault="007546AB" w:rsidP="00190CE0">
      <w:pPr>
        <w:numPr>
          <w:ilvl w:val="0"/>
          <w:numId w:val="5"/>
        </w:numPr>
      </w:pPr>
      <w:r w:rsidRPr="007546AB">
        <w:t xml:space="preserve">visar öppenhet för nya sätt att lösa problem </w:t>
      </w:r>
    </w:p>
    <w:p w:rsidR="007546AB" w:rsidRDefault="007546AB" w:rsidP="007546AB">
      <w:pPr>
        <w:pStyle w:val="Default"/>
        <w:rPr>
          <w:sz w:val="20"/>
          <w:szCs w:val="20"/>
        </w:rPr>
      </w:pPr>
    </w:p>
    <w:p w:rsidR="007546AB" w:rsidRPr="00CF212E" w:rsidRDefault="007546AB" w:rsidP="00CF212E">
      <w:pPr>
        <w:rPr>
          <w:b/>
        </w:rPr>
      </w:pPr>
      <w:r w:rsidRPr="00CF212E">
        <w:rPr>
          <w:b/>
        </w:rPr>
        <w:t xml:space="preserve">God studieförmåga </w:t>
      </w:r>
    </w:p>
    <w:p w:rsidR="007546AB" w:rsidRPr="007546AB" w:rsidRDefault="007546AB" w:rsidP="007546AB">
      <w:r w:rsidRPr="007546AB">
        <w:t xml:space="preserve">Den studerande </w:t>
      </w:r>
    </w:p>
    <w:p w:rsidR="007546AB" w:rsidRPr="007546AB" w:rsidRDefault="007546AB" w:rsidP="00190CE0">
      <w:pPr>
        <w:numPr>
          <w:ilvl w:val="0"/>
          <w:numId w:val="5"/>
        </w:numPr>
      </w:pPr>
      <w:r w:rsidRPr="007546AB">
        <w:t xml:space="preserve">söker, bearbetar med stöd och vidareförmedlar information från olika källor </w:t>
      </w:r>
    </w:p>
    <w:p w:rsidR="007546AB" w:rsidRPr="007546AB" w:rsidRDefault="007546AB" w:rsidP="00190CE0">
      <w:pPr>
        <w:numPr>
          <w:ilvl w:val="0"/>
          <w:numId w:val="5"/>
        </w:numPr>
      </w:pPr>
      <w:r w:rsidRPr="007546AB">
        <w:t xml:space="preserve">ser och förstår samband och helheter i enklare sammanhang </w:t>
      </w:r>
    </w:p>
    <w:p w:rsidR="007546AB" w:rsidRPr="007546AB" w:rsidRDefault="007546AB" w:rsidP="00190CE0">
      <w:pPr>
        <w:numPr>
          <w:ilvl w:val="0"/>
          <w:numId w:val="5"/>
        </w:numPr>
      </w:pPr>
      <w:r w:rsidRPr="007546AB">
        <w:t xml:space="preserve">kan använda begrepp för att beskriva olika förlopp och företeelser </w:t>
      </w:r>
    </w:p>
    <w:p w:rsidR="007546AB" w:rsidRPr="007546AB" w:rsidRDefault="007546AB" w:rsidP="00190CE0">
      <w:pPr>
        <w:numPr>
          <w:ilvl w:val="0"/>
          <w:numId w:val="5"/>
        </w:numPr>
      </w:pPr>
      <w:r w:rsidRPr="007546AB">
        <w:t>kan återge och använda kända sätt att lösa problem</w:t>
      </w:r>
    </w:p>
    <w:p w:rsidR="00CF212E" w:rsidRDefault="00CF212E" w:rsidP="00CF212E">
      <w:pPr>
        <w:rPr>
          <w:b/>
          <w:i/>
        </w:rPr>
      </w:pPr>
    </w:p>
    <w:p w:rsidR="007546AB" w:rsidRPr="00CF212E" w:rsidRDefault="007546AB" w:rsidP="00CF212E">
      <w:pPr>
        <w:rPr>
          <w:b/>
          <w:i/>
        </w:rPr>
      </w:pPr>
      <w:r w:rsidRPr="00CF212E">
        <w:rPr>
          <w:b/>
          <w:i/>
        </w:rPr>
        <w:t xml:space="preserve">Ambition, uthållighet och förmåga att organisera studier </w:t>
      </w:r>
    </w:p>
    <w:p w:rsidR="00CF212E" w:rsidRDefault="00CF212E" w:rsidP="00CF212E">
      <w:pPr>
        <w:rPr>
          <w:b/>
        </w:rPr>
      </w:pPr>
    </w:p>
    <w:p w:rsidR="007546AB" w:rsidRPr="00CF212E" w:rsidRDefault="007546AB" w:rsidP="00CF212E">
      <w:pPr>
        <w:rPr>
          <w:b/>
        </w:rPr>
      </w:pPr>
      <w:r w:rsidRPr="00CF212E">
        <w:rPr>
          <w:b/>
        </w:rPr>
        <w:t xml:space="preserve">Utmärkt studieförmåga </w:t>
      </w:r>
    </w:p>
    <w:p w:rsidR="007546AB" w:rsidRPr="007546AB" w:rsidRDefault="007546AB" w:rsidP="007546AB">
      <w:r w:rsidRPr="007546AB">
        <w:t xml:space="preserve">Den studerande </w:t>
      </w:r>
    </w:p>
    <w:p w:rsidR="007546AB" w:rsidRPr="007546AB" w:rsidRDefault="007546AB" w:rsidP="00190CE0">
      <w:pPr>
        <w:numPr>
          <w:ilvl w:val="0"/>
          <w:numId w:val="5"/>
        </w:numPr>
      </w:pPr>
      <w:r w:rsidRPr="007546AB">
        <w:t xml:space="preserve">tar ansvar för sitt lärande och har ambitionen att utöka och utveckla sina kunskaper och färdigheter </w:t>
      </w:r>
    </w:p>
    <w:p w:rsidR="007546AB" w:rsidRPr="007546AB" w:rsidRDefault="007546AB" w:rsidP="00190CE0">
      <w:pPr>
        <w:numPr>
          <w:ilvl w:val="0"/>
          <w:numId w:val="5"/>
        </w:numPr>
      </w:pPr>
      <w:r w:rsidRPr="007546AB">
        <w:t xml:space="preserve">arbetar på ett självständigt och aktivt sätt både med och utan handledning </w:t>
      </w:r>
    </w:p>
    <w:p w:rsidR="007546AB" w:rsidRPr="007546AB" w:rsidRDefault="007546AB" w:rsidP="00190CE0">
      <w:pPr>
        <w:numPr>
          <w:ilvl w:val="0"/>
          <w:numId w:val="5"/>
        </w:numPr>
      </w:pPr>
      <w:r w:rsidRPr="007546AB">
        <w:t xml:space="preserve">deltar engagerat såväl vid enskilt som gemensamt arbete </w:t>
      </w:r>
    </w:p>
    <w:p w:rsidR="007546AB" w:rsidRPr="007546AB" w:rsidRDefault="007546AB" w:rsidP="00190CE0">
      <w:pPr>
        <w:numPr>
          <w:ilvl w:val="0"/>
          <w:numId w:val="5"/>
        </w:numPr>
      </w:pPr>
      <w:r w:rsidRPr="007546AB">
        <w:t xml:space="preserve">planerar, genomför och slutför överenskomna arbetsuppgifter – såväl enskilt som i grupp </w:t>
      </w:r>
    </w:p>
    <w:p w:rsidR="007546AB" w:rsidRDefault="007546AB" w:rsidP="007546AB">
      <w:pPr>
        <w:pStyle w:val="Default"/>
        <w:rPr>
          <w:sz w:val="20"/>
          <w:szCs w:val="20"/>
        </w:rPr>
      </w:pPr>
    </w:p>
    <w:p w:rsidR="007546AB" w:rsidRPr="00CF212E" w:rsidRDefault="007546AB" w:rsidP="00CF212E">
      <w:pPr>
        <w:rPr>
          <w:b/>
        </w:rPr>
      </w:pPr>
      <w:r w:rsidRPr="00CF212E">
        <w:rPr>
          <w:b/>
        </w:rPr>
        <w:t xml:space="preserve">Mycket god studieförmåga </w:t>
      </w:r>
    </w:p>
    <w:p w:rsidR="007546AB" w:rsidRPr="00190CE0" w:rsidRDefault="007546AB" w:rsidP="00190CE0">
      <w:r w:rsidRPr="00190CE0">
        <w:t xml:space="preserve">Den studerande </w:t>
      </w:r>
    </w:p>
    <w:p w:rsidR="007546AB" w:rsidRPr="007546AB" w:rsidRDefault="007546AB" w:rsidP="00190CE0">
      <w:pPr>
        <w:numPr>
          <w:ilvl w:val="0"/>
          <w:numId w:val="5"/>
        </w:numPr>
      </w:pPr>
      <w:r w:rsidRPr="007546AB">
        <w:lastRenderedPageBreak/>
        <w:t xml:space="preserve">tar ansvar för sitt lärande och har ambitionen att utöka sina kunskaper och färdigheter </w:t>
      </w:r>
    </w:p>
    <w:p w:rsidR="007546AB" w:rsidRPr="007546AB" w:rsidRDefault="007546AB" w:rsidP="00190CE0">
      <w:pPr>
        <w:numPr>
          <w:ilvl w:val="0"/>
          <w:numId w:val="5"/>
        </w:numPr>
      </w:pPr>
      <w:r w:rsidRPr="007546AB">
        <w:t xml:space="preserve">arbetar på ett självständigt sätt både med och utan handledning </w:t>
      </w:r>
    </w:p>
    <w:p w:rsidR="007546AB" w:rsidRPr="007546AB" w:rsidRDefault="007546AB" w:rsidP="00190CE0">
      <w:pPr>
        <w:numPr>
          <w:ilvl w:val="0"/>
          <w:numId w:val="5"/>
        </w:numPr>
      </w:pPr>
      <w:r w:rsidRPr="007546AB">
        <w:t xml:space="preserve">deltar aktivt såväl vid enskilt som gemensamt arbete </w:t>
      </w:r>
    </w:p>
    <w:p w:rsidR="007546AB" w:rsidRPr="007546AB" w:rsidRDefault="007546AB" w:rsidP="00190CE0">
      <w:pPr>
        <w:numPr>
          <w:ilvl w:val="0"/>
          <w:numId w:val="5"/>
        </w:numPr>
      </w:pPr>
      <w:r w:rsidRPr="007546AB">
        <w:t xml:space="preserve">planerar, genomför och slutför överenskomna arbetsuppgifter – såväl enskilt som i grupp </w:t>
      </w:r>
    </w:p>
    <w:p w:rsidR="007546AB" w:rsidRDefault="007546AB" w:rsidP="007546AB">
      <w:pPr>
        <w:pStyle w:val="Default"/>
        <w:rPr>
          <w:sz w:val="20"/>
          <w:szCs w:val="20"/>
        </w:rPr>
      </w:pPr>
    </w:p>
    <w:p w:rsidR="007546AB" w:rsidRPr="00CF212E" w:rsidRDefault="007546AB" w:rsidP="00CF212E">
      <w:pPr>
        <w:rPr>
          <w:b/>
        </w:rPr>
      </w:pPr>
      <w:r w:rsidRPr="00CF212E">
        <w:rPr>
          <w:b/>
        </w:rPr>
        <w:t xml:space="preserve">God studieförmåga </w:t>
      </w:r>
    </w:p>
    <w:p w:rsidR="007546AB" w:rsidRPr="007546AB" w:rsidRDefault="007546AB" w:rsidP="007546AB">
      <w:r w:rsidRPr="007546AB">
        <w:t xml:space="preserve">Den studerande </w:t>
      </w:r>
    </w:p>
    <w:p w:rsidR="007546AB" w:rsidRPr="007546AB" w:rsidRDefault="007546AB" w:rsidP="00190CE0">
      <w:pPr>
        <w:numPr>
          <w:ilvl w:val="0"/>
          <w:numId w:val="5"/>
        </w:numPr>
      </w:pPr>
      <w:r w:rsidRPr="007546AB">
        <w:t xml:space="preserve">har ambitionen att utöka sina kunskaper och färdigheter </w:t>
      </w:r>
    </w:p>
    <w:p w:rsidR="007546AB" w:rsidRPr="007546AB" w:rsidRDefault="007546AB" w:rsidP="00190CE0">
      <w:pPr>
        <w:numPr>
          <w:ilvl w:val="0"/>
          <w:numId w:val="5"/>
        </w:numPr>
      </w:pPr>
      <w:r w:rsidRPr="007546AB">
        <w:t xml:space="preserve">arbetar med stöd vid olika slags uppgifter </w:t>
      </w:r>
    </w:p>
    <w:p w:rsidR="007546AB" w:rsidRPr="007546AB" w:rsidRDefault="007546AB" w:rsidP="00190CE0">
      <w:pPr>
        <w:numPr>
          <w:ilvl w:val="0"/>
          <w:numId w:val="5"/>
        </w:numPr>
      </w:pPr>
      <w:r w:rsidRPr="007546AB">
        <w:t xml:space="preserve">deltar såväl vid enskilt som vid gemensamt arbete </w:t>
      </w:r>
    </w:p>
    <w:p w:rsidR="007546AB" w:rsidRPr="007546AB" w:rsidRDefault="007546AB" w:rsidP="00190CE0">
      <w:pPr>
        <w:numPr>
          <w:ilvl w:val="0"/>
          <w:numId w:val="5"/>
        </w:numPr>
      </w:pPr>
      <w:r w:rsidRPr="007546AB">
        <w:t xml:space="preserve">arbetar med överenskomna uppgifter – såväl enskilt som i grupp </w:t>
      </w:r>
    </w:p>
    <w:p w:rsidR="007546AB" w:rsidRDefault="007546AB" w:rsidP="007546AB">
      <w:pPr>
        <w:pStyle w:val="Default"/>
        <w:rPr>
          <w:sz w:val="20"/>
          <w:szCs w:val="20"/>
        </w:rPr>
      </w:pPr>
    </w:p>
    <w:p w:rsidR="007546AB" w:rsidRDefault="007546AB" w:rsidP="00CF212E">
      <w:pPr>
        <w:rPr>
          <w:b/>
          <w:i/>
        </w:rPr>
      </w:pPr>
      <w:r w:rsidRPr="00190CE0">
        <w:rPr>
          <w:b/>
          <w:i/>
        </w:rPr>
        <w:t xml:space="preserve">Social förmåga </w:t>
      </w:r>
    </w:p>
    <w:p w:rsidR="00190CE0" w:rsidRPr="00190CE0" w:rsidRDefault="00190CE0" w:rsidP="00CF212E">
      <w:pPr>
        <w:rPr>
          <w:b/>
          <w:i/>
        </w:rPr>
      </w:pPr>
    </w:p>
    <w:p w:rsidR="007546AB" w:rsidRPr="00CF212E" w:rsidRDefault="007546AB" w:rsidP="00CF212E">
      <w:pPr>
        <w:rPr>
          <w:b/>
        </w:rPr>
      </w:pPr>
      <w:r w:rsidRPr="00CF212E">
        <w:rPr>
          <w:b/>
        </w:rPr>
        <w:t xml:space="preserve">Utmärkt studieförmåga </w:t>
      </w:r>
    </w:p>
    <w:p w:rsidR="007546AB" w:rsidRPr="007546AB" w:rsidRDefault="007546AB" w:rsidP="007546AB">
      <w:r w:rsidRPr="007546AB">
        <w:t xml:space="preserve">Den studerande </w:t>
      </w:r>
    </w:p>
    <w:p w:rsidR="007546AB" w:rsidRPr="007546AB" w:rsidRDefault="007546AB" w:rsidP="00190CE0">
      <w:pPr>
        <w:numPr>
          <w:ilvl w:val="0"/>
          <w:numId w:val="5"/>
        </w:numPr>
      </w:pPr>
      <w:r w:rsidRPr="007546AB">
        <w:t xml:space="preserve">medverkar aktivt i olika grupper och i gemensamma aktiviteter </w:t>
      </w:r>
    </w:p>
    <w:p w:rsidR="007546AB" w:rsidRPr="007546AB" w:rsidRDefault="007546AB" w:rsidP="00190CE0">
      <w:pPr>
        <w:numPr>
          <w:ilvl w:val="0"/>
          <w:numId w:val="5"/>
        </w:numPr>
      </w:pPr>
      <w:r w:rsidRPr="007546AB">
        <w:t xml:space="preserve">tar ansvar för sammanhållning i gruppen, för ett positivt arbetsklimat och goda relationer </w:t>
      </w:r>
    </w:p>
    <w:p w:rsidR="007546AB" w:rsidRPr="007546AB" w:rsidRDefault="007546AB" w:rsidP="00190CE0">
      <w:pPr>
        <w:numPr>
          <w:ilvl w:val="0"/>
          <w:numId w:val="5"/>
        </w:numPr>
      </w:pPr>
      <w:r w:rsidRPr="007546AB">
        <w:t xml:space="preserve">visar förståelse för, respekterar och tar initiativ till att förbättra gemensamma överenskommelser och umgängesformer i skolsamhället </w:t>
      </w:r>
    </w:p>
    <w:p w:rsidR="007546AB" w:rsidRPr="007546AB" w:rsidRDefault="007546AB" w:rsidP="00190CE0">
      <w:pPr>
        <w:numPr>
          <w:ilvl w:val="0"/>
          <w:numId w:val="5"/>
        </w:numPr>
      </w:pPr>
      <w:r w:rsidRPr="007546AB">
        <w:t xml:space="preserve">visar respekt för alla människors lika värde och den enskildes rätt till personlig integritet </w:t>
      </w:r>
    </w:p>
    <w:p w:rsidR="007546AB" w:rsidRDefault="007546AB" w:rsidP="007546AB">
      <w:pPr>
        <w:pStyle w:val="Default"/>
        <w:rPr>
          <w:sz w:val="20"/>
          <w:szCs w:val="20"/>
        </w:rPr>
      </w:pPr>
    </w:p>
    <w:p w:rsidR="007546AB" w:rsidRPr="00CF212E" w:rsidRDefault="007546AB" w:rsidP="00CF212E">
      <w:pPr>
        <w:rPr>
          <w:b/>
        </w:rPr>
      </w:pPr>
      <w:r w:rsidRPr="00CF212E">
        <w:rPr>
          <w:b/>
        </w:rPr>
        <w:t xml:space="preserve">Mycket god studieförmåga </w:t>
      </w:r>
    </w:p>
    <w:p w:rsidR="007546AB" w:rsidRPr="007546AB" w:rsidRDefault="007546AB" w:rsidP="007546AB">
      <w:r w:rsidRPr="007546AB">
        <w:t xml:space="preserve">Den studerande </w:t>
      </w:r>
    </w:p>
    <w:p w:rsidR="007546AB" w:rsidRPr="007546AB" w:rsidRDefault="007546AB" w:rsidP="00190CE0">
      <w:pPr>
        <w:numPr>
          <w:ilvl w:val="0"/>
          <w:numId w:val="5"/>
        </w:numPr>
      </w:pPr>
      <w:r w:rsidRPr="007546AB">
        <w:t xml:space="preserve">medverkar i olika grupper och i gemensamma aktiviteter </w:t>
      </w:r>
    </w:p>
    <w:p w:rsidR="007546AB" w:rsidRPr="007546AB" w:rsidRDefault="007546AB" w:rsidP="00190CE0">
      <w:pPr>
        <w:numPr>
          <w:ilvl w:val="0"/>
          <w:numId w:val="5"/>
        </w:numPr>
      </w:pPr>
      <w:r w:rsidRPr="007546AB">
        <w:t xml:space="preserve">bidrar till sammanhållning i gruppen, till ett positivt arbetsklimat och goda relationer </w:t>
      </w:r>
    </w:p>
    <w:p w:rsidR="007546AB" w:rsidRPr="007546AB" w:rsidRDefault="007546AB" w:rsidP="00190CE0">
      <w:pPr>
        <w:numPr>
          <w:ilvl w:val="0"/>
          <w:numId w:val="5"/>
        </w:numPr>
      </w:pPr>
      <w:r w:rsidRPr="007546AB">
        <w:t xml:space="preserve">visar förståelse för och respekterar gemensamma överenskommelser och umgängesformer i skolsamhället </w:t>
      </w:r>
    </w:p>
    <w:p w:rsidR="007546AB" w:rsidRPr="007546AB" w:rsidRDefault="007546AB" w:rsidP="00190CE0">
      <w:pPr>
        <w:numPr>
          <w:ilvl w:val="0"/>
          <w:numId w:val="5"/>
        </w:numPr>
      </w:pPr>
      <w:r w:rsidRPr="007546AB">
        <w:t xml:space="preserve">visar respekt för alla människors lika värde och den enskildes rätt till personlig integritet </w:t>
      </w:r>
    </w:p>
    <w:p w:rsidR="007546AB" w:rsidRDefault="007546AB" w:rsidP="007546AB">
      <w:pPr>
        <w:pStyle w:val="Default"/>
        <w:rPr>
          <w:sz w:val="20"/>
          <w:szCs w:val="20"/>
        </w:rPr>
      </w:pPr>
    </w:p>
    <w:p w:rsidR="007546AB" w:rsidRPr="00CF212E" w:rsidRDefault="007546AB" w:rsidP="00CF212E">
      <w:pPr>
        <w:rPr>
          <w:b/>
        </w:rPr>
      </w:pPr>
      <w:r w:rsidRPr="00CF212E">
        <w:rPr>
          <w:b/>
        </w:rPr>
        <w:t xml:space="preserve">God studieförmåga </w:t>
      </w:r>
    </w:p>
    <w:p w:rsidR="007546AB" w:rsidRPr="00CF212E" w:rsidRDefault="007546AB" w:rsidP="00CF212E">
      <w:r w:rsidRPr="00CF212E">
        <w:t xml:space="preserve">Den studerande </w:t>
      </w:r>
    </w:p>
    <w:p w:rsidR="007546AB" w:rsidRPr="007546AB" w:rsidRDefault="007546AB" w:rsidP="00190CE0">
      <w:pPr>
        <w:numPr>
          <w:ilvl w:val="0"/>
          <w:numId w:val="5"/>
        </w:numPr>
      </w:pPr>
      <w:r w:rsidRPr="007546AB">
        <w:t xml:space="preserve">deltar i olika grupper och i gemensamma aktiviteter </w:t>
      </w:r>
    </w:p>
    <w:p w:rsidR="007546AB" w:rsidRPr="007546AB" w:rsidRDefault="007546AB" w:rsidP="00190CE0">
      <w:pPr>
        <w:numPr>
          <w:ilvl w:val="0"/>
          <w:numId w:val="5"/>
        </w:numPr>
      </w:pPr>
      <w:r w:rsidRPr="007546AB">
        <w:t xml:space="preserve">bidrar i viss mån till sammanhållning i gruppen och till goda relationer </w:t>
      </w:r>
    </w:p>
    <w:p w:rsidR="007546AB" w:rsidRPr="007546AB" w:rsidRDefault="007546AB" w:rsidP="00190CE0">
      <w:pPr>
        <w:numPr>
          <w:ilvl w:val="0"/>
          <w:numId w:val="5"/>
        </w:numPr>
      </w:pPr>
      <w:r w:rsidRPr="007546AB">
        <w:t xml:space="preserve">respekterar gemensamma överenskommelser och umgängesformer i skolsamhället </w:t>
      </w:r>
    </w:p>
    <w:p w:rsidR="007546AB" w:rsidRPr="007546AB" w:rsidRDefault="007546AB" w:rsidP="00190CE0">
      <w:pPr>
        <w:numPr>
          <w:ilvl w:val="0"/>
          <w:numId w:val="5"/>
        </w:numPr>
      </w:pPr>
      <w:r w:rsidRPr="007546AB">
        <w:t>visar respekt för alla människors lika värde och den enskildes rätt till personlig integritet</w:t>
      </w:r>
    </w:p>
    <w:p w:rsidR="00CF212E" w:rsidRPr="007546AB" w:rsidRDefault="00CF212E" w:rsidP="00CF212E">
      <w:pPr>
        <w:spacing w:before="100" w:beforeAutospacing="1" w:after="48" w:line="312" w:lineRule="atLeast"/>
        <w:outlineLvl w:val="2"/>
        <w:rPr>
          <w:rFonts w:ascii="Helvetica" w:hAnsi="Helvetica" w:cs="Helvetica"/>
          <w:b/>
          <w:color w:val="151515"/>
          <w:szCs w:val="24"/>
        </w:rPr>
      </w:pPr>
      <w:r w:rsidRPr="007546AB">
        <w:rPr>
          <w:rFonts w:ascii="Helvetica" w:hAnsi="Helvetica" w:cs="Helvetica"/>
          <w:b/>
          <w:color w:val="151515"/>
          <w:szCs w:val="24"/>
        </w:rPr>
        <w:lastRenderedPageBreak/>
        <w:t xml:space="preserve">Folkbildningsrådet följer omdömessättningen </w:t>
      </w:r>
    </w:p>
    <w:p w:rsidR="00CF212E" w:rsidRPr="00EA5D25" w:rsidRDefault="00CF212E" w:rsidP="007546AB">
      <w:r w:rsidRPr="007546AB">
        <w:t>Folkbildningsrådet samlar årligen in resultatet av skolornas omdömessättning för att följa utvecklingen och ta ställning till eventuella åtgärder vid avvikelser från rekommendationen. Alla omdömen skolan sätter ska rapporteras, oavsett om de utfärdas skriftligt eller ej. Syftet med anvisningarna och uppföljningen är att skapa jämförbarhet mellan sk</w:t>
      </w:r>
      <w:bookmarkStart w:id="0" w:name="_GoBack"/>
      <w:bookmarkEnd w:id="0"/>
      <w:r w:rsidRPr="007546AB">
        <w:t xml:space="preserve">olorna och att undvika inflation i omdömessättningen. </w:t>
      </w:r>
    </w:p>
    <w:sectPr w:rsidR="00CF212E" w:rsidRPr="00EA5D25">
      <w:headerReference w:type="even" r:id="rId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743" w:rsidRDefault="00272743">
      <w:r>
        <w:separator/>
      </w:r>
    </w:p>
  </w:endnote>
  <w:endnote w:type="continuationSeparator" w:id="0">
    <w:p w:rsidR="00272743" w:rsidRDefault="00272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743" w:rsidRDefault="00272743">
      <w:r>
        <w:separator/>
      </w:r>
    </w:p>
  </w:footnote>
  <w:footnote w:type="continuationSeparator" w:id="0">
    <w:p w:rsidR="00272743" w:rsidRDefault="00272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F44" w:rsidRDefault="00C43F44">
    <w:pPr>
      <w:pStyle w:val="Sidhuvud"/>
    </w:pPr>
  </w:p>
  <w:p w:rsidR="001218A5" w:rsidRDefault="001218A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00"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1896"/>
      <w:gridCol w:w="3774"/>
      <w:gridCol w:w="2188"/>
      <w:gridCol w:w="1342"/>
    </w:tblGrid>
    <w:tr w:rsidR="002A4B89" w:rsidTr="006D091A">
      <w:tc>
        <w:tcPr>
          <w:tcW w:w="9200" w:type="dxa"/>
          <w:gridSpan w:val="4"/>
          <w:tcBorders>
            <w:top w:val="nil"/>
            <w:left w:val="nil"/>
            <w:right w:val="nil"/>
          </w:tcBorders>
        </w:tcPr>
        <w:p w:rsidR="002A4B89" w:rsidRDefault="00C43F44" w:rsidP="006D091A">
          <w:pPr>
            <w:pStyle w:val="Sidhuvud"/>
            <w:jc w:val="center"/>
          </w:pPr>
          <w:r>
            <w:rPr>
              <w:b/>
              <w:bCs/>
              <w:sz w:val="26"/>
            </w:rPr>
            <w:t>VERKSAMHETSHANDBOK</w:t>
          </w:r>
        </w:p>
      </w:tc>
    </w:tr>
    <w:tr w:rsidR="002A4B89" w:rsidTr="006D091A">
      <w:tc>
        <w:tcPr>
          <w:tcW w:w="1896" w:type="dxa"/>
          <w:vMerge w:val="restart"/>
          <w:vAlign w:val="center"/>
        </w:tcPr>
        <w:p w:rsidR="002A4B89" w:rsidRDefault="003C2082" w:rsidP="006D091A">
          <w:pPr>
            <w:pStyle w:val="Sidhuvud"/>
            <w:jc w:val="center"/>
          </w:pPr>
          <w:r>
            <w:rPr>
              <w:noProof/>
            </w:rPr>
            <w:drawing>
              <wp:inline distT="0" distB="0" distL="0" distR="0">
                <wp:extent cx="1065530" cy="628015"/>
                <wp:effectExtent l="0" t="0" r="1270" b="635"/>
                <wp:docPr id="1" name="Bild 1" descr="Logga-112px-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112px-V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530" cy="628015"/>
                        </a:xfrm>
                        <a:prstGeom prst="rect">
                          <a:avLst/>
                        </a:prstGeom>
                        <a:noFill/>
                        <a:ln>
                          <a:noFill/>
                        </a:ln>
                      </pic:spPr>
                    </pic:pic>
                  </a:graphicData>
                </a:graphic>
              </wp:inline>
            </w:drawing>
          </w:r>
        </w:p>
      </w:tc>
      <w:tc>
        <w:tcPr>
          <w:tcW w:w="5962" w:type="dxa"/>
          <w:gridSpan w:val="2"/>
          <w:vMerge w:val="restart"/>
        </w:tcPr>
        <w:p w:rsidR="002A4B89" w:rsidRPr="006D091A" w:rsidRDefault="002A4B89" w:rsidP="002A4B89">
          <w:pPr>
            <w:pStyle w:val="Sidhuvud"/>
            <w:rPr>
              <w:sz w:val="16"/>
            </w:rPr>
          </w:pPr>
          <w:r w:rsidRPr="006D091A">
            <w:rPr>
              <w:sz w:val="16"/>
            </w:rPr>
            <w:t>Dokumentnamn:</w:t>
          </w:r>
        </w:p>
        <w:p w:rsidR="002A4B89" w:rsidRPr="007D61EE" w:rsidRDefault="007C6F69" w:rsidP="002A4B89">
          <w:pPr>
            <w:pStyle w:val="Sidhuvud"/>
          </w:pPr>
          <w:r>
            <w:t>QIF 7.5.21 Riktlinjer för studieomdömen</w:t>
          </w:r>
        </w:p>
      </w:tc>
      <w:tc>
        <w:tcPr>
          <w:tcW w:w="1342" w:type="dxa"/>
        </w:tcPr>
        <w:p w:rsidR="002A4B89" w:rsidRPr="006D091A" w:rsidRDefault="002A4B89" w:rsidP="002A4B89">
          <w:pPr>
            <w:pStyle w:val="Sidhuvud"/>
            <w:rPr>
              <w:sz w:val="16"/>
            </w:rPr>
          </w:pPr>
          <w:r w:rsidRPr="006D091A">
            <w:rPr>
              <w:sz w:val="16"/>
            </w:rPr>
            <w:t>Utgåva:</w:t>
          </w:r>
        </w:p>
        <w:p w:rsidR="002A4B89" w:rsidRPr="009C3C9A" w:rsidRDefault="00A41077" w:rsidP="002A4B89">
          <w:pPr>
            <w:pStyle w:val="Sidhuvud"/>
          </w:pPr>
          <w:r>
            <w:t>3</w:t>
          </w:r>
        </w:p>
      </w:tc>
    </w:tr>
    <w:tr w:rsidR="002A4B89" w:rsidTr="006D091A">
      <w:tc>
        <w:tcPr>
          <w:tcW w:w="1896" w:type="dxa"/>
          <w:vMerge/>
        </w:tcPr>
        <w:p w:rsidR="002A4B89" w:rsidRDefault="002A4B89" w:rsidP="002A4B89">
          <w:pPr>
            <w:pStyle w:val="Sidhuvud"/>
          </w:pPr>
        </w:p>
      </w:tc>
      <w:tc>
        <w:tcPr>
          <w:tcW w:w="5962" w:type="dxa"/>
          <w:gridSpan w:val="2"/>
          <w:vMerge/>
        </w:tcPr>
        <w:p w:rsidR="002A4B89" w:rsidRDefault="002A4B89" w:rsidP="002A4B89">
          <w:pPr>
            <w:pStyle w:val="Sidhuvud"/>
          </w:pPr>
        </w:p>
      </w:tc>
      <w:tc>
        <w:tcPr>
          <w:tcW w:w="1342" w:type="dxa"/>
        </w:tcPr>
        <w:p w:rsidR="002A4B89" w:rsidRPr="006D091A" w:rsidRDefault="002A4B89" w:rsidP="002A4B89">
          <w:pPr>
            <w:pStyle w:val="Sidhuvud"/>
            <w:rPr>
              <w:sz w:val="16"/>
            </w:rPr>
          </w:pPr>
          <w:r w:rsidRPr="006D091A">
            <w:rPr>
              <w:sz w:val="16"/>
            </w:rPr>
            <w:t>Sidan:</w:t>
          </w:r>
        </w:p>
        <w:p w:rsidR="002A4B89" w:rsidRPr="009C3C9A" w:rsidRDefault="002A4B89" w:rsidP="002A4B89">
          <w:pPr>
            <w:pStyle w:val="Sidhuvud"/>
          </w:pPr>
          <w:r w:rsidRPr="009C3C9A">
            <w:fldChar w:fldCharType="begin"/>
          </w:r>
          <w:r w:rsidRPr="009C3C9A">
            <w:instrText xml:space="preserve"> PAGE </w:instrText>
          </w:r>
          <w:r w:rsidRPr="009C3C9A">
            <w:fldChar w:fldCharType="separate"/>
          </w:r>
          <w:r w:rsidR="00F920A2">
            <w:rPr>
              <w:noProof/>
            </w:rPr>
            <w:t>5</w:t>
          </w:r>
          <w:r w:rsidRPr="009C3C9A">
            <w:fldChar w:fldCharType="end"/>
          </w:r>
          <w:r w:rsidRPr="009C3C9A">
            <w:t xml:space="preserve"> av </w:t>
          </w:r>
          <w:r w:rsidR="00CD366A">
            <w:rPr>
              <w:noProof/>
            </w:rPr>
            <w:fldChar w:fldCharType="begin"/>
          </w:r>
          <w:r w:rsidR="00CD366A">
            <w:rPr>
              <w:noProof/>
            </w:rPr>
            <w:instrText xml:space="preserve"> NUMPAGES </w:instrText>
          </w:r>
          <w:r w:rsidR="00CD366A">
            <w:rPr>
              <w:noProof/>
            </w:rPr>
            <w:fldChar w:fldCharType="separate"/>
          </w:r>
          <w:r w:rsidR="00F920A2">
            <w:rPr>
              <w:noProof/>
            </w:rPr>
            <w:t>5</w:t>
          </w:r>
          <w:r w:rsidR="00CD366A">
            <w:rPr>
              <w:noProof/>
            </w:rPr>
            <w:fldChar w:fldCharType="end"/>
          </w:r>
        </w:p>
      </w:tc>
    </w:tr>
    <w:tr w:rsidR="002A4B89" w:rsidTr="00A41077">
      <w:tc>
        <w:tcPr>
          <w:tcW w:w="1896" w:type="dxa"/>
          <w:vMerge/>
        </w:tcPr>
        <w:p w:rsidR="002A4B89" w:rsidRDefault="002A4B89" w:rsidP="002A4B89">
          <w:pPr>
            <w:pStyle w:val="Sidhuvud"/>
          </w:pPr>
        </w:p>
      </w:tc>
      <w:tc>
        <w:tcPr>
          <w:tcW w:w="3774" w:type="dxa"/>
        </w:tcPr>
        <w:p w:rsidR="002A4B89" w:rsidRPr="006D091A" w:rsidRDefault="002A4B89" w:rsidP="002A4B89">
          <w:pPr>
            <w:pStyle w:val="Sidhuvud"/>
            <w:rPr>
              <w:sz w:val="16"/>
            </w:rPr>
          </w:pPr>
          <w:r w:rsidRPr="006D091A">
            <w:rPr>
              <w:sz w:val="16"/>
            </w:rPr>
            <w:t>Framtaget av:</w:t>
          </w:r>
        </w:p>
        <w:p w:rsidR="002A4B89" w:rsidRDefault="008E4AE8" w:rsidP="00CF212E">
          <w:pPr>
            <w:pStyle w:val="Sidhuvud"/>
          </w:pPr>
          <w:r>
            <w:t>Folkbildningsrådet</w:t>
          </w:r>
          <w:r w:rsidR="00CF212E">
            <w:t>/Eric Sandström</w:t>
          </w:r>
        </w:p>
      </w:tc>
      <w:tc>
        <w:tcPr>
          <w:tcW w:w="2188" w:type="dxa"/>
        </w:tcPr>
        <w:p w:rsidR="002A4B89" w:rsidRPr="006D091A" w:rsidRDefault="002A4B89" w:rsidP="002A4B89">
          <w:pPr>
            <w:pStyle w:val="Sidhuvud"/>
            <w:rPr>
              <w:sz w:val="16"/>
            </w:rPr>
          </w:pPr>
          <w:r w:rsidRPr="006D091A">
            <w:rPr>
              <w:sz w:val="16"/>
            </w:rPr>
            <w:t>Fastställd/godkänd av:</w:t>
          </w:r>
        </w:p>
        <w:p w:rsidR="002A4B89" w:rsidRDefault="00A41077" w:rsidP="002A4B89">
          <w:pPr>
            <w:pStyle w:val="Sidhuvud"/>
          </w:pPr>
          <w:r>
            <w:t>Daniel Unnerbäck</w:t>
          </w:r>
        </w:p>
      </w:tc>
      <w:tc>
        <w:tcPr>
          <w:tcW w:w="1342" w:type="dxa"/>
        </w:tcPr>
        <w:p w:rsidR="002A4B89" w:rsidRPr="006D091A" w:rsidRDefault="002A4B89" w:rsidP="002A4B89">
          <w:pPr>
            <w:pStyle w:val="Sidhuvud"/>
            <w:rPr>
              <w:sz w:val="16"/>
            </w:rPr>
          </w:pPr>
          <w:r w:rsidRPr="006D091A">
            <w:rPr>
              <w:sz w:val="16"/>
            </w:rPr>
            <w:t>Datum:</w:t>
          </w:r>
        </w:p>
        <w:p w:rsidR="002A4B89" w:rsidRPr="009C3C9A" w:rsidRDefault="00CF212E" w:rsidP="00A41077">
          <w:pPr>
            <w:pStyle w:val="Sidhuvud"/>
          </w:pPr>
          <w:r>
            <w:t>1</w:t>
          </w:r>
          <w:r w:rsidR="00A41077">
            <w:t>90627</w:t>
          </w:r>
        </w:p>
      </w:tc>
    </w:tr>
  </w:tbl>
  <w:p w:rsidR="003F1C66" w:rsidRPr="002A4B89" w:rsidRDefault="003F1C66" w:rsidP="002A4B89">
    <w:pPr>
      <w:pStyle w:val="Sidhuvud"/>
      <w:rPr>
        <w:sz w:val="10"/>
        <w:szCs w:val="10"/>
      </w:rPr>
    </w:pPr>
  </w:p>
  <w:p w:rsidR="003F1C66" w:rsidRDefault="003F1C6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60855"/>
    <w:multiLevelType w:val="hybridMultilevel"/>
    <w:tmpl w:val="B212E92A"/>
    <w:lvl w:ilvl="0" w:tplc="8166BF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C769E7"/>
    <w:multiLevelType w:val="multilevel"/>
    <w:tmpl w:val="3C30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D60C39"/>
    <w:multiLevelType w:val="hybridMultilevel"/>
    <w:tmpl w:val="25B4F87A"/>
    <w:lvl w:ilvl="0" w:tplc="8166BF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D8B1D10"/>
    <w:multiLevelType w:val="hybridMultilevel"/>
    <w:tmpl w:val="6DEC64CE"/>
    <w:lvl w:ilvl="0" w:tplc="8166BF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2E13CC4"/>
    <w:multiLevelType w:val="hybridMultilevel"/>
    <w:tmpl w:val="C27EDA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9567143"/>
    <w:multiLevelType w:val="hybridMultilevel"/>
    <w:tmpl w:val="77D82474"/>
    <w:lvl w:ilvl="0" w:tplc="8166BF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26F76E7"/>
    <w:multiLevelType w:val="hybridMultilevel"/>
    <w:tmpl w:val="98683E4A"/>
    <w:lvl w:ilvl="0" w:tplc="8166BF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3AE5E24"/>
    <w:multiLevelType w:val="hybridMultilevel"/>
    <w:tmpl w:val="A84841EC"/>
    <w:lvl w:ilvl="0" w:tplc="8166BF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FA1D55"/>
    <w:multiLevelType w:val="multilevel"/>
    <w:tmpl w:val="1A72F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1126C3"/>
    <w:multiLevelType w:val="hybridMultilevel"/>
    <w:tmpl w:val="A3B03180"/>
    <w:lvl w:ilvl="0" w:tplc="8166BF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37772B1"/>
    <w:multiLevelType w:val="hybridMultilevel"/>
    <w:tmpl w:val="7CF68E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3593F63"/>
    <w:multiLevelType w:val="hybridMultilevel"/>
    <w:tmpl w:val="12B4D82C"/>
    <w:lvl w:ilvl="0" w:tplc="8166BF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68C7A72"/>
    <w:multiLevelType w:val="hybridMultilevel"/>
    <w:tmpl w:val="75FA711E"/>
    <w:lvl w:ilvl="0" w:tplc="8166BF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AA24F26"/>
    <w:multiLevelType w:val="hybridMultilevel"/>
    <w:tmpl w:val="43DE0448"/>
    <w:lvl w:ilvl="0" w:tplc="8166BF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6CA2567"/>
    <w:multiLevelType w:val="hybridMultilevel"/>
    <w:tmpl w:val="140C9352"/>
    <w:lvl w:ilvl="0" w:tplc="8166BF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1744061"/>
    <w:multiLevelType w:val="hybridMultilevel"/>
    <w:tmpl w:val="1F52CEC2"/>
    <w:lvl w:ilvl="0" w:tplc="8166BF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4"/>
  </w:num>
  <w:num w:numId="5">
    <w:abstractNumId w:val="5"/>
  </w:num>
  <w:num w:numId="6">
    <w:abstractNumId w:val="7"/>
  </w:num>
  <w:num w:numId="7">
    <w:abstractNumId w:val="14"/>
  </w:num>
  <w:num w:numId="8">
    <w:abstractNumId w:val="0"/>
  </w:num>
  <w:num w:numId="9">
    <w:abstractNumId w:val="9"/>
  </w:num>
  <w:num w:numId="10">
    <w:abstractNumId w:val="13"/>
  </w:num>
  <w:num w:numId="11">
    <w:abstractNumId w:val="2"/>
  </w:num>
  <w:num w:numId="12">
    <w:abstractNumId w:val="15"/>
  </w:num>
  <w:num w:numId="13">
    <w:abstractNumId w:val="6"/>
  </w:num>
  <w:num w:numId="14">
    <w:abstractNumId w:val="12"/>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91A"/>
    <w:rsid w:val="001218A5"/>
    <w:rsid w:val="00190CE0"/>
    <w:rsid w:val="00241D0D"/>
    <w:rsid w:val="00266D59"/>
    <w:rsid w:val="00272743"/>
    <w:rsid w:val="002A4B89"/>
    <w:rsid w:val="00325C2B"/>
    <w:rsid w:val="003C2082"/>
    <w:rsid w:val="003F1C66"/>
    <w:rsid w:val="003F408B"/>
    <w:rsid w:val="00531E22"/>
    <w:rsid w:val="00567D27"/>
    <w:rsid w:val="005A2781"/>
    <w:rsid w:val="006D091A"/>
    <w:rsid w:val="00742CF9"/>
    <w:rsid w:val="007546AB"/>
    <w:rsid w:val="007C6F69"/>
    <w:rsid w:val="008A2333"/>
    <w:rsid w:val="008D4A43"/>
    <w:rsid w:val="008E4AE8"/>
    <w:rsid w:val="009E02B6"/>
    <w:rsid w:val="00A41077"/>
    <w:rsid w:val="00C1363E"/>
    <w:rsid w:val="00C43F44"/>
    <w:rsid w:val="00CD366A"/>
    <w:rsid w:val="00CF212E"/>
    <w:rsid w:val="00D66214"/>
    <w:rsid w:val="00E733D9"/>
    <w:rsid w:val="00E85BB3"/>
    <w:rsid w:val="00EA5D25"/>
    <w:rsid w:val="00F920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2CAE54"/>
  <w15:chartTrackingRefBased/>
  <w15:docId w15:val="{6682D091-2B09-4D8F-BE2A-0B527603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8"/>
    </w:rPr>
  </w:style>
  <w:style w:type="paragraph" w:styleId="Rubrik1">
    <w:name w:val="heading 1"/>
    <w:basedOn w:val="Normal"/>
    <w:next w:val="Normal"/>
    <w:qFormat/>
    <w:pPr>
      <w:keepNext/>
      <w:outlineLvl w:val="0"/>
    </w:pPr>
    <w:rPr>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Ballongtext">
    <w:name w:val="Balloon Text"/>
    <w:basedOn w:val="Normal"/>
    <w:semiHidden/>
    <w:rPr>
      <w:rFonts w:ascii="Tahoma" w:hAnsi="Tahoma" w:cs="Tahoma"/>
      <w:sz w:val="16"/>
      <w:szCs w:val="16"/>
    </w:rPr>
  </w:style>
  <w:style w:type="table" w:styleId="Tabellrutnt">
    <w:name w:val="Table Grid"/>
    <w:basedOn w:val="Normaltabell"/>
    <w:rsid w:val="002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semiHidden/>
    <w:unhideWhenUsed/>
    <w:rsid w:val="007546AB"/>
    <w:rPr>
      <w:color w:val="1487DF"/>
      <w:u w:val="single"/>
    </w:rPr>
  </w:style>
  <w:style w:type="paragraph" w:styleId="Normalwebb">
    <w:name w:val="Normal (Web)"/>
    <w:basedOn w:val="Normal"/>
    <w:uiPriority w:val="99"/>
    <w:semiHidden/>
    <w:unhideWhenUsed/>
    <w:rsid w:val="007546AB"/>
    <w:pPr>
      <w:spacing w:before="100" w:beforeAutospacing="1" w:after="360" w:line="312" w:lineRule="atLeast"/>
    </w:pPr>
    <w:rPr>
      <w:rFonts w:ascii="Times New Roman" w:hAnsi="Times New Roman" w:cs="Times New Roman"/>
      <w:sz w:val="29"/>
      <w:szCs w:val="29"/>
    </w:rPr>
  </w:style>
  <w:style w:type="paragraph" w:customStyle="1" w:styleId="Default">
    <w:name w:val="Default"/>
    <w:rsid w:val="007546A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399987">
      <w:bodyDiv w:val="1"/>
      <w:marLeft w:val="0"/>
      <w:marRight w:val="0"/>
      <w:marTop w:val="0"/>
      <w:marBottom w:val="0"/>
      <w:divBdr>
        <w:top w:val="none" w:sz="0" w:space="0" w:color="auto"/>
        <w:left w:val="none" w:sz="0" w:space="0" w:color="auto"/>
        <w:bottom w:val="none" w:sz="0" w:space="0" w:color="auto"/>
        <w:right w:val="none" w:sz="0" w:space="0" w:color="auto"/>
      </w:divBdr>
      <w:divsChild>
        <w:div w:id="692414144">
          <w:marLeft w:val="0"/>
          <w:marRight w:val="0"/>
          <w:marTop w:val="0"/>
          <w:marBottom w:val="0"/>
          <w:divBdr>
            <w:top w:val="none" w:sz="0" w:space="0" w:color="auto"/>
            <w:left w:val="none" w:sz="0" w:space="0" w:color="auto"/>
            <w:bottom w:val="none" w:sz="0" w:space="0" w:color="auto"/>
            <w:right w:val="none" w:sz="0" w:space="0" w:color="auto"/>
          </w:divBdr>
          <w:divsChild>
            <w:div w:id="1861163648">
              <w:marLeft w:val="0"/>
              <w:marRight w:val="0"/>
              <w:marTop w:val="0"/>
              <w:marBottom w:val="0"/>
              <w:divBdr>
                <w:top w:val="none" w:sz="0" w:space="0" w:color="auto"/>
                <w:left w:val="none" w:sz="0" w:space="0" w:color="auto"/>
                <w:bottom w:val="none" w:sz="0" w:space="0" w:color="auto"/>
                <w:right w:val="none" w:sz="0" w:space="0" w:color="auto"/>
              </w:divBdr>
              <w:divsChild>
                <w:div w:id="109861040">
                  <w:marLeft w:val="0"/>
                  <w:marRight w:val="0"/>
                  <w:marTop w:val="0"/>
                  <w:marBottom w:val="0"/>
                  <w:divBdr>
                    <w:top w:val="none" w:sz="0" w:space="0" w:color="auto"/>
                    <w:left w:val="none" w:sz="0" w:space="0" w:color="auto"/>
                    <w:bottom w:val="none" w:sz="0" w:space="0" w:color="auto"/>
                    <w:right w:val="none" w:sz="0" w:space="0" w:color="auto"/>
                  </w:divBdr>
                  <w:divsChild>
                    <w:div w:id="1462652406">
                      <w:marLeft w:val="90"/>
                      <w:marRight w:val="90"/>
                      <w:marTop w:val="0"/>
                      <w:marBottom w:val="0"/>
                      <w:divBdr>
                        <w:top w:val="none" w:sz="0" w:space="0" w:color="auto"/>
                        <w:left w:val="none" w:sz="0" w:space="0" w:color="auto"/>
                        <w:bottom w:val="none" w:sz="0" w:space="0" w:color="auto"/>
                        <w:right w:val="none" w:sz="0" w:space="0" w:color="auto"/>
                      </w:divBdr>
                      <w:divsChild>
                        <w:div w:id="1447656028">
                          <w:marLeft w:val="0"/>
                          <w:marRight w:val="0"/>
                          <w:marTop w:val="0"/>
                          <w:marBottom w:val="300"/>
                          <w:divBdr>
                            <w:top w:val="none" w:sz="0" w:space="0" w:color="auto"/>
                            <w:left w:val="none" w:sz="0" w:space="0" w:color="auto"/>
                            <w:bottom w:val="none" w:sz="0" w:space="0" w:color="auto"/>
                            <w:right w:val="none" w:sz="0" w:space="0" w:color="auto"/>
                          </w:divBdr>
                          <w:divsChild>
                            <w:div w:id="1974942533">
                              <w:marLeft w:val="0"/>
                              <w:marRight w:val="0"/>
                              <w:marTop w:val="0"/>
                              <w:marBottom w:val="0"/>
                              <w:divBdr>
                                <w:top w:val="none" w:sz="0" w:space="0" w:color="auto"/>
                                <w:left w:val="none" w:sz="0" w:space="0" w:color="auto"/>
                                <w:bottom w:val="none" w:sz="0" w:space="0" w:color="auto"/>
                                <w:right w:val="none" w:sz="0" w:space="0" w:color="auto"/>
                              </w:divBdr>
                              <w:divsChild>
                                <w:div w:id="1934510025">
                                  <w:marLeft w:val="0"/>
                                  <w:marRight w:val="0"/>
                                  <w:marTop w:val="0"/>
                                  <w:marBottom w:val="0"/>
                                  <w:divBdr>
                                    <w:top w:val="none" w:sz="0" w:space="0" w:color="auto"/>
                                    <w:left w:val="none" w:sz="0" w:space="0" w:color="auto"/>
                                    <w:bottom w:val="none" w:sz="0" w:space="0" w:color="auto"/>
                                    <w:right w:val="none" w:sz="0" w:space="0" w:color="auto"/>
                                  </w:divBdr>
                                  <w:divsChild>
                                    <w:div w:id="564222182">
                                      <w:marLeft w:val="225"/>
                                      <w:marRight w:val="0"/>
                                      <w:marTop w:val="0"/>
                                      <w:marBottom w:val="120"/>
                                      <w:divBdr>
                                        <w:top w:val="none" w:sz="0" w:space="0" w:color="auto"/>
                                        <w:left w:val="none" w:sz="0" w:space="0" w:color="auto"/>
                                        <w:bottom w:val="none" w:sz="0" w:space="0" w:color="auto"/>
                                        <w:right w:val="none" w:sz="0" w:space="0" w:color="auto"/>
                                      </w:divBdr>
                                      <w:divsChild>
                                        <w:div w:id="421339059">
                                          <w:marLeft w:val="225"/>
                                          <w:marRight w:val="225"/>
                                          <w:marTop w:val="225"/>
                                          <w:marBottom w:val="225"/>
                                          <w:divBdr>
                                            <w:top w:val="none" w:sz="0" w:space="0" w:color="auto"/>
                                            <w:left w:val="none" w:sz="0" w:space="0" w:color="auto"/>
                                            <w:bottom w:val="none" w:sz="0" w:space="0" w:color="auto"/>
                                            <w:right w:val="none" w:sz="0" w:space="0" w:color="auto"/>
                                          </w:divBdr>
                                          <w:divsChild>
                                            <w:div w:id="15550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947881">
                                      <w:marLeft w:val="0"/>
                                      <w:marRight w:val="0"/>
                                      <w:marTop w:val="0"/>
                                      <w:marBottom w:val="360"/>
                                      <w:divBdr>
                                        <w:top w:val="none" w:sz="0" w:space="0" w:color="auto"/>
                                        <w:left w:val="none" w:sz="0" w:space="0" w:color="auto"/>
                                        <w:bottom w:val="none" w:sz="0" w:space="0" w:color="auto"/>
                                        <w:right w:val="none" w:sz="0" w:space="0" w:color="auto"/>
                                      </w:divBdr>
                                      <w:divsChild>
                                        <w:div w:id="965937602">
                                          <w:marLeft w:val="0"/>
                                          <w:marRight w:val="0"/>
                                          <w:marTop w:val="0"/>
                                          <w:marBottom w:val="0"/>
                                          <w:divBdr>
                                            <w:top w:val="none" w:sz="0" w:space="0" w:color="auto"/>
                                            <w:left w:val="none" w:sz="0" w:space="0" w:color="auto"/>
                                            <w:bottom w:val="none" w:sz="0" w:space="0" w:color="auto"/>
                                            <w:right w:val="none" w:sz="0" w:space="0" w:color="auto"/>
                                          </w:divBdr>
                                        </w:div>
                                      </w:divsChild>
                                    </w:div>
                                    <w:div w:id="19885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olkbildningsradet.se/globalassets/studerandefragor-folkhogskolor/anvisningar-studieomdome-folkhogskola-2013-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Hemsidor\valjeviken_2009\public_html\Protected\ISO\Dokumentstyrning\Mallar\Instruktionsmall_Valjeviken.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Instruktionsmall_Valjeviken</Template>
  <TotalTime>132</TotalTime>
  <Pages>5</Pages>
  <Words>1287</Words>
  <Characters>6822</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KVALITETSHANDBOK</vt:lpstr>
    </vt:vector>
  </TitlesOfParts>
  <Company>HP</Company>
  <LinksUpToDate>false</LinksUpToDate>
  <CharactersWithSpaces>8093</CharactersWithSpaces>
  <SharedDoc>false</SharedDoc>
  <HLinks>
    <vt:vector size="6" baseType="variant">
      <vt:variant>
        <vt:i4>7012468</vt:i4>
      </vt:variant>
      <vt:variant>
        <vt:i4>0</vt:i4>
      </vt:variant>
      <vt:variant>
        <vt:i4>0</vt:i4>
      </vt:variant>
      <vt:variant>
        <vt:i4>5</vt:i4>
      </vt:variant>
      <vt:variant>
        <vt:lpwstr>http://www.folkbildningsradet.se/globalassets/studerandefragor-folkhogskolor/anvisningar-studieomdome-folkhogskola-2013-14.pdf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KVALITETSHANDBOK</dc:title>
  <dc:subject/>
  <dc:creator>LENOVO USER</dc:creator>
  <cp:keywords/>
  <cp:lastModifiedBy>Emilia Flygare</cp:lastModifiedBy>
  <cp:revision>3</cp:revision>
  <cp:lastPrinted>2007-05-23T15:53:00Z</cp:lastPrinted>
  <dcterms:created xsi:type="dcterms:W3CDTF">2023-03-14T10:57:00Z</dcterms:created>
  <dcterms:modified xsi:type="dcterms:W3CDTF">2023-03-14T13:19:00Z</dcterms:modified>
</cp:coreProperties>
</file>